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6EFE4" w14:textId="7B716945" w:rsidR="00DF1830" w:rsidRDefault="00564AFD" w:rsidP="00564AFD">
      <w:pPr>
        <w:suppressAutoHyphens/>
        <w:autoSpaceDE w:val="0"/>
        <w:autoSpaceDN w:val="0"/>
        <w:adjustRightInd w:val="0"/>
        <w:spacing w:after="0"/>
        <w:jc w:val="right"/>
        <w:rPr>
          <w:rFonts w:ascii="Times New Roman" w:eastAsia="Times New Roman" w:hAnsi="Times New Roman" w:cs="Times New Roman"/>
          <w:b/>
          <w:color w:val="000000"/>
          <w:kern w:val="28"/>
          <w:sz w:val="24"/>
          <w:szCs w:val="24"/>
          <w:lang w:eastAsia="en-US"/>
        </w:rPr>
      </w:pPr>
      <w:r>
        <w:rPr>
          <w:rFonts w:ascii="Times New Roman" w:eastAsia="Times New Roman" w:hAnsi="Times New Roman" w:cs="Times New Roman"/>
          <w:b/>
          <w:color w:val="000000"/>
          <w:kern w:val="28"/>
          <w:sz w:val="24"/>
          <w:szCs w:val="24"/>
          <w:lang w:eastAsia="en-US"/>
        </w:rPr>
        <w:t>1 PRIEDAS</w:t>
      </w:r>
    </w:p>
    <w:p w14:paraId="2E8ABB27" w14:textId="77777777" w:rsidR="00564AFD" w:rsidRPr="00687E8D" w:rsidRDefault="00564AFD" w:rsidP="00564AFD">
      <w:pPr>
        <w:suppressAutoHyphens/>
        <w:autoSpaceDE w:val="0"/>
        <w:autoSpaceDN w:val="0"/>
        <w:adjustRightInd w:val="0"/>
        <w:spacing w:after="0"/>
        <w:jc w:val="right"/>
        <w:rPr>
          <w:rFonts w:ascii="Times New Roman" w:eastAsia="Times New Roman" w:hAnsi="Times New Roman" w:cs="Times New Roman"/>
          <w:b/>
          <w:color w:val="000000"/>
          <w:kern w:val="28"/>
          <w:sz w:val="24"/>
          <w:szCs w:val="24"/>
          <w:lang w:eastAsia="en-US"/>
        </w:rPr>
      </w:pPr>
    </w:p>
    <w:p w14:paraId="03FDCC22" w14:textId="2A852E40" w:rsidR="00DF1830" w:rsidRPr="00687E8D" w:rsidRDefault="00DF1830" w:rsidP="00DF1830">
      <w:pPr>
        <w:shd w:val="clear" w:color="auto" w:fill="D9D9D9"/>
        <w:suppressAutoHyphens/>
        <w:autoSpaceDE w:val="0"/>
        <w:autoSpaceDN w:val="0"/>
        <w:adjustRightInd w:val="0"/>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SPECIALIZUOTOS TECHNIKOS KASKO DRAUDIMO PASLAUG</w:t>
      </w:r>
      <w:r>
        <w:rPr>
          <w:rFonts w:ascii="Times New Roman" w:eastAsia="Times New Roman" w:hAnsi="Times New Roman" w:cs="Times New Roman"/>
          <w:b/>
          <w:color w:val="000000"/>
          <w:kern w:val="28"/>
          <w:sz w:val="24"/>
          <w:szCs w:val="24"/>
          <w:lang w:eastAsia="en-US"/>
        </w:rPr>
        <w:t>Ų</w:t>
      </w:r>
      <w:r w:rsidRPr="00687E8D">
        <w:rPr>
          <w:rFonts w:ascii="Times New Roman" w:eastAsia="Times New Roman" w:hAnsi="Times New Roman" w:cs="Times New Roman"/>
          <w:b/>
          <w:color w:val="000000"/>
          <w:kern w:val="28"/>
          <w:sz w:val="24"/>
          <w:szCs w:val="24"/>
          <w:lang w:eastAsia="en-US"/>
        </w:rPr>
        <w:t xml:space="preserve"> </w:t>
      </w:r>
    </w:p>
    <w:p w14:paraId="3A8CF7B6" w14:textId="77777777" w:rsidR="00DF1830" w:rsidRPr="00687E8D" w:rsidRDefault="00DF1830" w:rsidP="00DF1830">
      <w:pPr>
        <w:shd w:val="clear" w:color="auto" w:fill="D9D9D9"/>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TECHNINĖ SPECIFIKACIJA</w:t>
      </w:r>
    </w:p>
    <w:p w14:paraId="4D07E645" w14:textId="77777777" w:rsidR="00DF1830" w:rsidRPr="00687E8D" w:rsidRDefault="00DF1830" w:rsidP="00DF1830">
      <w:pPr>
        <w:spacing w:after="0"/>
        <w:rPr>
          <w:rFonts w:ascii="Times New Roman" w:eastAsia="Calibri" w:hAnsi="Times New Roman" w:cs="Times New Roman"/>
          <w:sz w:val="24"/>
          <w:szCs w:val="24"/>
          <w:lang w:eastAsia="en-US"/>
        </w:rPr>
      </w:pPr>
    </w:p>
    <w:p w14:paraId="4319C726" w14:textId="30B009D8" w:rsidR="00DF1830" w:rsidRPr="00BA796E" w:rsidRDefault="00DF1830" w:rsidP="00BA796E">
      <w:pPr>
        <w:pStyle w:val="Sraopastraipa"/>
        <w:numPr>
          <w:ilvl w:val="0"/>
          <w:numId w:val="1"/>
        </w:numPr>
        <w:jc w:val="both"/>
        <w:rPr>
          <w:rFonts w:ascii="Times New Roman" w:eastAsia="Calibri" w:hAnsi="Times New Roman" w:cs="Times New Roman"/>
          <w:sz w:val="24"/>
          <w:szCs w:val="24"/>
          <w:lang w:eastAsia="en-US"/>
        </w:rPr>
      </w:pPr>
      <w:r w:rsidRPr="00BA796E">
        <w:rPr>
          <w:rFonts w:ascii="Times New Roman" w:eastAsia="Calibri" w:hAnsi="Times New Roman" w:cs="Times New Roman"/>
          <w:sz w:val="24"/>
          <w:szCs w:val="24"/>
          <w:lang w:eastAsia="en-US"/>
        </w:rPr>
        <w:t xml:space="preserve">Draudėjas specializuotos technikos </w:t>
      </w:r>
      <w:r w:rsidRPr="00BA796E">
        <w:rPr>
          <w:rFonts w:ascii="Times New Roman" w:eastAsia="Calibri" w:hAnsi="Times New Roman" w:cs="Times New Roman"/>
          <w:i/>
          <w:iCs/>
          <w:sz w:val="24"/>
          <w:szCs w:val="24"/>
          <w:lang w:eastAsia="en-US"/>
        </w:rPr>
        <w:t xml:space="preserve">kasko </w:t>
      </w:r>
      <w:r w:rsidRPr="00BA796E">
        <w:rPr>
          <w:rFonts w:ascii="Times New Roman" w:eastAsia="Calibri" w:hAnsi="Times New Roman" w:cs="Times New Roman"/>
          <w:sz w:val="24"/>
          <w:szCs w:val="24"/>
          <w:lang w:eastAsia="en-US"/>
        </w:rPr>
        <w:t xml:space="preserve">draudimu nurodytais terminais numato apdrausti specializuotą techniką pagal sąrašą esantį </w:t>
      </w:r>
      <w:r w:rsidR="00BA796E" w:rsidRPr="00BA796E">
        <w:rPr>
          <w:rFonts w:ascii="Times New Roman" w:eastAsia="Calibri" w:hAnsi="Times New Roman" w:cs="Times New Roman"/>
          <w:sz w:val="24"/>
          <w:szCs w:val="24"/>
          <w:lang w:eastAsia="en-US"/>
        </w:rPr>
        <w:t xml:space="preserve">pirkimo specialiųjų sąlygų </w:t>
      </w:r>
      <w:r w:rsidRPr="00BA796E">
        <w:rPr>
          <w:rFonts w:ascii="Times New Roman" w:eastAsia="Calibri" w:hAnsi="Times New Roman" w:cs="Times New Roman"/>
          <w:i/>
          <w:iCs/>
          <w:sz w:val="24"/>
          <w:szCs w:val="24"/>
          <w:lang w:eastAsia="en-US"/>
        </w:rPr>
        <w:t>p</w:t>
      </w:r>
      <w:r w:rsidR="00BA796E" w:rsidRPr="00BA796E">
        <w:rPr>
          <w:rFonts w:ascii="Times New Roman" w:eastAsia="Calibri" w:hAnsi="Times New Roman" w:cs="Times New Roman"/>
          <w:i/>
          <w:iCs/>
          <w:sz w:val="24"/>
          <w:szCs w:val="24"/>
          <w:lang w:eastAsia="en-US"/>
        </w:rPr>
        <w:t>riede</w:t>
      </w:r>
      <w:r w:rsidRPr="00BA796E">
        <w:rPr>
          <w:rFonts w:ascii="Times New Roman" w:eastAsia="Calibri" w:hAnsi="Times New Roman" w:cs="Times New Roman"/>
          <w:i/>
          <w:iCs/>
          <w:sz w:val="24"/>
          <w:szCs w:val="24"/>
          <w:lang w:eastAsia="en-US"/>
        </w:rPr>
        <w:t xml:space="preserve">. </w:t>
      </w:r>
      <w:r w:rsidRPr="00BA796E">
        <w:rPr>
          <w:rFonts w:ascii="Times New Roman" w:eastAsia="Calibri" w:hAnsi="Times New Roman" w:cs="Times New Roman"/>
          <w:sz w:val="24"/>
          <w:szCs w:val="24"/>
          <w:lang w:eastAsia="en-US"/>
        </w:rPr>
        <w:t xml:space="preserve"> Visa specializuota technika draudžiama viena draudimo sutartimi. </w:t>
      </w:r>
      <w:r w:rsidR="00BA796E" w:rsidRPr="00BA796E">
        <w:rPr>
          <w:rFonts w:ascii="Times New Roman" w:eastAsia="Calibri" w:hAnsi="Times New Roman" w:cs="Times New Roman"/>
          <w:sz w:val="24"/>
          <w:szCs w:val="24"/>
          <w:lang w:eastAsia="en-US"/>
        </w:rPr>
        <w:t>Draudimo paslaugų sutartis bus sudaroma tarpininkaujat UADBB Aon Baltic, į. k. 110591289, su kuria perkančioji organizacija yra sudariusi brokerio paslaugų teikimo (bendradarbiavimo) sutartį.  Kontaktinis asmuo Gintaras Ciganas, Alytaus regiono vadovas Verslo klientų departamentas, S. Dariaus ir S. Girėno g. 9, Alytus, mob. tel. +37068656164, el. p. gintaras.ciganas@aon.lt</w:t>
      </w:r>
    </w:p>
    <w:p w14:paraId="4EF9CDBA"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Draudimas nuo visų rizikų, išskyrus vidinius gedimus. Draudžiamasis įvykis yra apdraustos specializuotos technikos sunaikinimas, sugadinimas ar praradimas dėl bet kokių atsitikimų, staiga ir netikėtai įvykusių draudimo apsaugos galiojimo laikotarpiu (avarijos, vagystės, nelaimingų atsitikimų ir trečiųjų asmenų nusikalstamos veikos, ir kt.), išskyrus atsitikimus, draudimo bendrovės taisyklėse nurodytus kaip nedraudžiamieji.</w:t>
      </w:r>
    </w:p>
    <w:p w14:paraId="60563900"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Tiekėjas turi pateikti pasiūlymą pagal Perkančiosios organizacijos reikalavimus ir sąlygas, netaikant papildomų sąlygų, apribojimų ar limitų.</w:t>
      </w:r>
    </w:p>
    <w:p w14:paraId="66D5AC6F"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Specializuotos technikos draudimo suma – nauja vertė (įsigijimo kaina).</w:t>
      </w:r>
    </w:p>
    <w:p w14:paraId="2E450CB2"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Specializuota technika draudžiama: </w:t>
      </w:r>
    </w:p>
    <w:p w14:paraId="2A04D17F" w14:textId="77777777" w:rsidR="00DF1830" w:rsidRPr="00687E8D" w:rsidRDefault="00DF1830" w:rsidP="00DF1830">
      <w:pPr>
        <w:numPr>
          <w:ilvl w:val="1"/>
          <w:numId w:val="1"/>
        </w:numPr>
        <w:spacing w:after="0"/>
        <w:ind w:left="709"/>
        <w:jc w:val="both"/>
        <w:rPr>
          <w:rFonts w:ascii="Times New Roman" w:eastAsia="Calibri" w:hAnsi="Times New Roman" w:cs="Times New Roman"/>
          <w:sz w:val="24"/>
          <w:szCs w:val="24"/>
          <w:lang w:eastAsia="en-US"/>
        </w:rPr>
      </w:pPr>
      <w:r w:rsidRPr="00687E8D">
        <w:rPr>
          <w:rFonts w:ascii="Times New Roman" w:eastAsia="Calibri" w:hAnsi="Times New Roman" w:cs="Times New Roman"/>
          <w:bCs/>
          <w:sz w:val="24"/>
          <w:szCs w:val="24"/>
          <w:lang w:eastAsia="en-US"/>
        </w:rPr>
        <w:t>atkuriamąja verte – suma, kuri prilyginama apdrausto įrenginio vertei nurodytai įsigijimo dokumentuose (įskaitant ir atvežimo bei montavimo išlaidas, galimus mokesčius ir muitus). Atkuriamąja verte draudžiama specializuota technika, kuri yra iki 7 metų (84 mėnesių) amžiaus imtinai.</w:t>
      </w:r>
    </w:p>
    <w:p w14:paraId="15E5BDE5" w14:textId="77777777" w:rsidR="00DF1830" w:rsidRPr="00687E8D" w:rsidRDefault="00DF1830" w:rsidP="00DF1830">
      <w:pPr>
        <w:numPr>
          <w:ilvl w:val="1"/>
          <w:numId w:val="1"/>
        </w:numPr>
        <w:spacing w:after="0"/>
        <w:ind w:left="709"/>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rinkos verte – suma, už kurią būtų galima įsigyti tos pačios paskirties, amžiaus, analogiškų parametrų ir techninių charakteristikų naudotą įrenginį. Rinkos verte draudžiama technika, kuri nepatenka į 5.1 punktą. </w:t>
      </w:r>
    </w:p>
    <w:p w14:paraId="29B2BBFB" w14:textId="77777777" w:rsidR="00DF1830" w:rsidRPr="00687E8D" w:rsidRDefault="00DF1830" w:rsidP="00DF1830">
      <w:pPr>
        <w:numPr>
          <w:ilvl w:val="0"/>
          <w:numId w:val="1"/>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 xml:space="preserve">Išskaita: </w:t>
      </w:r>
    </w:p>
    <w:p w14:paraId="48E25217" w14:textId="77777777" w:rsidR="00DF1830" w:rsidRPr="00687E8D" w:rsidRDefault="00DF1830" w:rsidP="00DF1830">
      <w:pPr>
        <w:numPr>
          <w:ilvl w:val="1"/>
          <w:numId w:val="1"/>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vagystės ir plėšimo atvejais – 10 % nuo žalos dydžio;</w:t>
      </w:r>
    </w:p>
    <w:p w14:paraId="2D742841" w14:textId="77777777" w:rsidR="00DF1830" w:rsidRPr="00687E8D" w:rsidRDefault="00DF1830" w:rsidP="00DF1830">
      <w:pPr>
        <w:numPr>
          <w:ilvl w:val="1"/>
          <w:numId w:val="1"/>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kitų draudiminių įvykių atvejais – 300,00 EUR.</w:t>
      </w:r>
    </w:p>
    <w:p w14:paraId="5C390EAB" w14:textId="77777777" w:rsidR="00DF1830" w:rsidRPr="00687E8D" w:rsidRDefault="00DF1830" w:rsidP="00DF1830">
      <w:pPr>
        <w:numPr>
          <w:ilvl w:val="0"/>
          <w:numId w:val="1"/>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 xml:space="preserve">Išskaita netaikoma draudžiamiesiems įvykiams, kai: </w:t>
      </w:r>
    </w:p>
    <w:p w14:paraId="13F493C9" w14:textId="77777777" w:rsidR="00DF1830" w:rsidRPr="00687E8D" w:rsidRDefault="00DF1830" w:rsidP="00DF1830">
      <w:pPr>
        <w:numPr>
          <w:ilvl w:val="1"/>
          <w:numId w:val="1"/>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 xml:space="preserve"> žala padaroma tik stiklams, žibintams, veidrodėliams kiekvienam draudžiamam objektui po 1 kartą per draudimo sutarties laikotarpį;</w:t>
      </w:r>
    </w:p>
    <w:p w14:paraId="28D63B72" w14:textId="77777777" w:rsidR="00DF1830" w:rsidRPr="00687E8D" w:rsidRDefault="00DF1830" w:rsidP="00DF1830">
      <w:pPr>
        <w:numPr>
          <w:ilvl w:val="1"/>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 įvykis atsitiko dėl nustatytų trečiųjų asmenų kaltės, kurie yra ne tik Lietuvos Respublikos piliečiai arba Lietuvoje registruoti juridiniai asmenys. Jei draudžiamasis įvykis atsitiko dėl abipusės draudžiamojo įvykio dalyvių kaltės, išskaita taikoma proporcingai Draudėjo kaltės dydžiui</w:t>
      </w:r>
    </w:p>
    <w:p w14:paraId="3DB34B72"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apsaugos galiojimo teritorija – Lietuvos respublikos teritorija.</w:t>
      </w:r>
    </w:p>
    <w:p w14:paraId="226235BF"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apsauga galioja jo darbo metu, pakrovimo/ iškrovimo metu ir krovinio užkritimo ant mobilaus įrenginio atveju</w:t>
      </w:r>
    </w:p>
    <w:p w14:paraId="2CB4B85B"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apsauga galioja ir transportuojant specializuotą techniką kaip krovinį.</w:t>
      </w:r>
    </w:p>
    <w:p w14:paraId="2C1137FA" w14:textId="77777777" w:rsidR="00DF1830" w:rsidRPr="00687E8D" w:rsidRDefault="00DF1830" w:rsidP="00DF1830">
      <w:pPr>
        <w:numPr>
          <w:ilvl w:val="0"/>
          <w:numId w:val="1"/>
        </w:numPr>
        <w:spacing w:after="0"/>
        <w:ind w:left="35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lastRenderedPageBreak/>
        <w:t xml:space="preserve">Draudimo apsauga galioja gaisro, ugnies ar sprogimo atveju objektams kai ugnies židinys yra pačiame apdraustame objekte. Mokant draudimo išmoką dėl gaisro, ugnies ar sprogimo, kurie kilo pačiame apdraustame turte, taikoma: </w:t>
      </w:r>
    </w:p>
    <w:p w14:paraId="2B9D3F26" w14:textId="77777777" w:rsidR="00DF1830" w:rsidRPr="00687E8D" w:rsidRDefault="00DF1830" w:rsidP="00DF1830">
      <w:pPr>
        <w:numPr>
          <w:ilvl w:val="0"/>
          <w:numId w:val="2"/>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jei draudžiamojo įvykio dieną draudimo objektas senesnis nei 7 metų (85 mėnesiai), bet ne senesnis nei 10 metų (120 mėnesių) arba su juo išdirbta daugiau nei 5 000, bet ne daugiau nei 10 000 moto valandų, taikome 20 procentų nuostolio sumos dydžio išskaitą; </w:t>
      </w:r>
    </w:p>
    <w:p w14:paraId="4A8C59AA" w14:textId="77777777" w:rsidR="00DF1830" w:rsidRPr="00687E8D" w:rsidRDefault="00DF1830" w:rsidP="00DF1830">
      <w:pPr>
        <w:numPr>
          <w:ilvl w:val="0"/>
          <w:numId w:val="2"/>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jei draudžiamojo įvykio dieną draudimo objektas senesnis nei 10 metų (121 mėnesis), bet ne senesnis nei 15 metų (180 mėnesių) arba su juo išdirbta daugiau nei 10 000, bet ne daugiau nei 15 000 moto valandų, taikome 35 procentų nuostolio sumos dydžio išskaitą; </w:t>
      </w:r>
    </w:p>
    <w:p w14:paraId="0558A5D4" w14:textId="55D06BAD" w:rsidR="00DF1830" w:rsidRPr="00687E8D" w:rsidRDefault="00DF1830" w:rsidP="00DF1830">
      <w:pPr>
        <w:numPr>
          <w:ilvl w:val="0"/>
          <w:numId w:val="2"/>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jei draudžiamojo įvykio dieną draudimo objektas senesnis nei 15 metų (181 mėn</w:t>
      </w:r>
      <w:r w:rsidR="00B9662B">
        <w:rPr>
          <w:rFonts w:ascii="Times New Roman" w:eastAsia="Times New Roman" w:hAnsi="Times New Roman" w:cs="Times New Roman"/>
          <w:color w:val="000000"/>
          <w:kern w:val="28"/>
          <w:sz w:val="24"/>
          <w:szCs w:val="24"/>
          <w:lang w:eastAsia="en-US"/>
        </w:rPr>
        <w:t>uo</w:t>
      </w:r>
      <w:r w:rsidRPr="00687E8D">
        <w:rPr>
          <w:rFonts w:ascii="Times New Roman" w:eastAsia="Times New Roman" w:hAnsi="Times New Roman" w:cs="Times New Roman"/>
          <w:color w:val="000000"/>
          <w:kern w:val="28"/>
          <w:sz w:val="24"/>
          <w:szCs w:val="24"/>
          <w:lang w:eastAsia="en-US"/>
        </w:rPr>
        <w:t xml:space="preserve">) arba su juo išdirbta 15 000 ar daugiau moto valandų, taikome 50 procentų nuostolio sumos dydžio išskaitą. </w:t>
      </w:r>
    </w:p>
    <w:p w14:paraId="34DE6C0A" w14:textId="77777777" w:rsidR="00DF1830" w:rsidRPr="00687E8D" w:rsidRDefault="00DF1830" w:rsidP="00DF1830">
      <w:pPr>
        <w:numPr>
          <w:ilvl w:val="0"/>
          <w:numId w:val="2"/>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Jei įrenginys naujesnis nei 7 metai (84 mėnesiai), atsižvelgiame tik į išdirbtų moto valandų skaičių. Jei įrenginys pagal metus ir išdirbtas moto valandas patenka į skirtingus intervalus, taikysime didesnę išskaitą. Jei įrenginyje nėra </w:t>
      </w:r>
      <w:proofErr w:type="spellStart"/>
      <w:r w:rsidRPr="00687E8D">
        <w:rPr>
          <w:rFonts w:ascii="Times New Roman" w:eastAsia="Times New Roman" w:hAnsi="Times New Roman" w:cs="Times New Roman"/>
          <w:color w:val="000000"/>
          <w:kern w:val="28"/>
          <w:sz w:val="24"/>
          <w:szCs w:val="24"/>
          <w:lang w:eastAsia="en-US"/>
        </w:rPr>
        <w:t>motovalandų</w:t>
      </w:r>
      <w:proofErr w:type="spellEnd"/>
      <w:r w:rsidRPr="00687E8D">
        <w:rPr>
          <w:rFonts w:ascii="Times New Roman" w:eastAsia="Times New Roman" w:hAnsi="Times New Roman" w:cs="Times New Roman"/>
          <w:color w:val="000000"/>
          <w:kern w:val="28"/>
          <w:sz w:val="24"/>
          <w:szCs w:val="24"/>
          <w:lang w:eastAsia="en-US"/>
        </w:rPr>
        <w:t xml:space="preserve"> skaitiklio arba po įvykio nėra galimybės nustatyti </w:t>
      </w:r>
      <w:proofErr w:type="spellStart"/>
      <w:r w:rsidRPr="00687E8D">
        <w:rPr>
          <w:rFonts w:ascii="Times New Roman" w:eastAsia="Times New Roman" w:hAnsi="Times New Roman" w:cs="Times New Roman"/>
          <w:color w:val="000000"/>
          <w:kern w:val="28"/>
          <w:sz w:val="24"/>
          <w:szCs w:val="24"/>
          <w:lang w:eastAsia="en-US"/>
        </w:rPr>
        <w:t>motovalandų</w:t>
      </w:r>
      <w:proofErr w:type="spellEnd"/>
      <w:r w:rsidRPr="00687E8D">
        <w:rPr>
          <w:rFonts w:ascii="Times New Roman" w:eastAsia="Times New Roman" w:hAnsi="Times New Roman" w:cs="Times New Roman"/>
          <w:color w:val="000000"/>
          <w:kern w:val="28"/>
          <w:sz w:val="24"/>
          <w:szCs w:val="24"/>
          <w:lang w:eastAsia="en-US"/>
        </w:rPr>
        <w:t>, vertinamas tik mobiliojo įrenginio amžius.</w:t>
      </w:r>
    </w:p>
    <w:p w14:paraId="53E3940C" w14:textId="77777777" w:rsidR="00DF1830" w:rsidRPr="00687E8D" w:rsidRDefault="00DF1830" w:rsidP="00DF1830">
      <w:pPr>
        <w:numPr>
          <w:ilvl w:val="0"/>
          <w:numId w:val="1"/>
        </w:numPr>
        <w:spacing w:after="0"/>
        <w:jc w:val="both"/>
        <w:rPr>
          <w:rFonts w:ascii="Times New Roman" w:eastAsia="Times New Roman" w:hAnsi="Times New Roman" w:cs="Times New Roman"/>
          <w:sz w:val="24"/>
          <w:szCs w:val="24"/>
          <w:lang w:eastAsia="en-US"/>
        </w:rPr>
      </w:pPr>
      <w:r w:rsidRPr="00687E8D">
        <w:rPr>
          <w:rFonts w:ascii="Times New Roman" w:eastAsia="Times New Roman" w:hAnsi="Times New Roman" w:cs="Times New Roman"/>
          <w:sz w:val="24"/>
          <w:szCs w:val="24"/>
          <w:lang w:eastAsia="en-US"/>
        </w:rPr>
        <w:t>Atlyginama žala padaryta vien tik specializuotos technikos padangoms kiekvienam draudžiamam objektui po vieną kartą sutarties galiojimo laikotarpiu.</w:t>
      </w:r>
    </w:p>
    <w:p w14:paraId="5CB37716"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apsauga galioja ir tuo atveju, kai žala atsirado dėl pašalinių objektų (daiktų) patekimo į dirbantį mechanizmą.</w:t>
      </w:r>
    </w:p>
    <w:p w14:paraId="6BEC61F4" w14:textId="77777777" w:rsidR="00DF1830" w:rsidRPr="00687E8D" w:rsidRDefault="00DF1830" w:rsidP="00DF1830">
      <w:pPr>
        <w:numPr>
          <w:ilvl w:val="0"/>
          <w:numId w:val="1"/>
        </w:numPr>
        <w:autoSpaceDE w:val="0"/>
        <w:autoSpaceDN w:val="0"/>
        <w:adjustRightInd w:val="0"/>
        <w:spacing w:after="0"/>
        <w:contextualSpacing/>
        <w:jc w:val="both"/>
        <w:rPr>
          <w:rFonts w:ascii="Times New Roman" w:eastAsia="Calibri"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Tiekėjas kompensuoja protingas ir pagrįstas išlaidas dėl specializuotos technikos iškėlimo, transportavimo ir gelbėjimo, transportavimo iš įvykio vietos po draudžiamojo įvykio, bei atlygina protingas bei pagrįstas  transporto priemonės saugojimo išlaidas. </w:t>
      </w:r>
    </w:p>
    <w:p w14:paraId="6676BB1C" w14:textId="211ECDCC" w:rsidR="00DF1830" w:rsidRPr="00687E8D" w:rsidRDefault="00DF1830" w:rsidP="00DF1830">
      <w:pPr>
        <w:numPr>
          <w:ilvl w:val="0"/>
          <w:numId w:val="1"/>
        </w:numPr>
        <w:autoSpaceDE w:val="0"/>
        <w:autoSpaceDN w:val="0"/>
        <w:adjustRightInd w:val="0"/>
        <w:spacing w:after="0"/>
        <w:contextualSpacing/>
        <w:jc w:val="both"/>
        <w:rPr>
          <w:rFonts w:ascii="Times New Roman" w:eastAsia="Calibri"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Visa specializuota technika draudžiama viena draudimo sutartimi. Sutartis sudaroma 12 (dvylikai) mėnesių</w:t>
      </w:r>
      <w:r w:rsidRPr="00687E8D">
        <w:rPr>
          <w:rFonts w:ascii="Times New Roman" w:eastAsia="Times New Roman" w:hAnsi="Times New Roman" w:cs="Times New Roman"/>
          <w:color w:val="000000"/>
          <w:kern w:val="28"/>
          <w:sz w:val="24"/>
          <w:szCs w:val="24"/>
        </w:rPr>
        <w:t>.</w:t>
      </w:r>
      <w:r w:rsidRPr="00687E8D">
        <w:rPr>
          <w:rFonts w:ascii="Times New Roman" w:eastAsia="Calibri" w:hAnsi="Times New Roman" w:cs="Times New Roman"/>
          <w:color w:val="000000"/>
          <w:kern w:val="28"/>
          <w:sz w:val="24"/>
          <w:szCs w:val="24"/>
          <w:lang w:eastAsia="en-US"/>
        </w:rPr>
        <w:t xml:space="preserve"> </w:t>
      </w:r>
    </w:p>
    <w:p w14:paraId="73F5098B"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įmokos mokamos kas ketvirtį, pirmai draudimo įmokai nustatomas 14 dienų atidėjimo terminas.</w:t>
      </w:r>
    </w:p>
    <w:p w14:paraId="1A7C1AAD"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Perkančioji organizacija be nurodytos specializuotos technikos sutarties laikotarpiu gali drausti ir kitą įsigytą specializuotą techniką, o tiekėjas įsipareigoja jų draudimui taikyti analogiškas sąlygas ir įkainius (tarifus), kurie bus nurodyti pasiūlyme atitinkamoms technikos kategorijoms. Įmoka šiai specializuotai technikai paskaičiuojama proporcingai galiojimo laikotarpiui, taikant tas pačias sąlygas (įkainius/ tarifus). Draudimo įmoka apskaičiuojama pagal formulę: (Draudimo objekto vertė * metinis draudimo tarifas, proc.) / 365 (trys šimtai šešiasdešimt penki) * draudimo dienų skaičius.</w:t>
      </w:r>
    </w:p>
    <w:p w14:paraId="26181805"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Koreguojant parko sudėtį (į parką įtraukiant naujas transporto priemones bei nutraukiant draudimo apsaugos galiojimą kuriai nors draudimo sutartyje nurodytų transporto priemonių) draudimo sutartis yra keičiama, išrašant sutarties priedus. </w:t>
      </w:r>
    </w:p>
    <w:p w14:paraId="055E4200"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Keičiant draudimo sutartį, draudimo įmoka perskaičiuojama proporcingai draudimo sutarties galiojimo terminui, koreguojant nesumokėtos pagal draudimo sutartį draudimo įmokos mokėjimo dalis. Įmokos dalių mokėjimo terminai nesikeičia. Jei visa draudimo įmoka jau sumokėta, papildomai mokėtina draudimo įmoka yra sumokama arba grąžinama, sudarant papildomą draudimo sutarties priedą. </w:t>
      </w:r>
    </w:p>
    <w:p w14:paraId="0C16A6BC" w14:textId="77777777" w:rsidR="00DF1830" w:rsidRPr="00687E8D" w:rsidRDefault="00DF1830" w:rsidP="00DF1830">
      <w:pPr>
        <w:numPr>
          <w:ilvl w:val="0"/>
          <w:numId w:val="1"/>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bCs/>
          <w:sz w:val="24"/>
          <w:szCs w:val="24"/>
          <w:lang w:eastAsia="en-US"/>
        </w:rPr>
        <w:t xml:space="preserve">Žalų istorija: </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264"/>
        <w:gridCol w:w="1134"/>
        <w:gridCol w:w="1271"/>
        <w:gridCol w:w="1564"/>
        <w:gridCol w:w="2694"/>
        <w:gridCol w:w="992"/>
      </w:tblGrid>
      <w:tr w:rsidR="00DF1830" w:rsidRPr="00687E8D" w14:paraId="2F6E0459" w14:textId="77777777" w:rsidTr="00161699">
        <w:trPr>
          <w:trHeight w:val="393"/>
        </w:trPr>
        <w:tc>
          <w:tcPr>
            <w:tcW w:w="1145" w:type="dxa"/>
            <w:vAlign w:val="center"/>
            <w:hideMark/>
          </w:tcPr>
          <w:p w14:paraId="5C073EA1"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Įvykio aprašymas</w:t>
            </w:r>
          </w:p>
        </w:tc>
        <w:tc>
          <w:tcPr>
            <w:tcW w:w="1264" w:type="dxa"/>
            <w:vAlign w:val="center"/>
            <w:hideMark/>
          </w:tcPr>
          <w:p w14:paraId="1CFA9981"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Įvykio data</w:t>
            </w:r>
          </w:p>
        </w:tc>
        <w:tc>
          <w:tcPr>
            <w:tcW w:w="1134" w:type="dxa"/>
            <w:vAlign w:val="center"/>
            <w:hideMark/>
          </w:tcPr>
          <w:p w14:paraId="54DFBCBC"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Žalos dydis</w:t>
            </w:r>
          </w:p>
        </w:tc>
        <w:tc>
          <w:tcPr>
            <w:tcW w:w="1271" w:type="dxa"/>
            <w:vAlign w:val="center"/>
            <w:hideMark/>
          </w:tcPr>
          <w:p w14:paraId="26584E17"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Poliso galiojimo pabaiga</w:t>
            </w:r>
          </w:p>
        </w:tc>
        <w:tc>
          <w:tcPr>
            <w:tcW w:w="1564" w:type="dxa"/>
            <w:vAlign w:val="center"/>
            <w:hideMark/>
          </w:tcPr>
          <w:p w14:paraId="24B8A15F"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Statusas</w:t>
            </w:r>
          </w:p>
        </w:tc>
        <w:tc>
          <w:tcPr>
            <w:tcW w:w="2694" w:type="dxa"/>
            <w:vAlign w:val="center"/>
            <w:hideMark/>
          </w:tcPr>
          <w:p w14:paraId="5A138B42"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Įvykio vieta</w:t>
            </w:r>
          </w:p>
        </w:tc>
        <w:tc>
          <w:tcPr>
            <w:tcW w:w="992" w:type="dxa"/>
            <w:vAlign w:val="center"/>
            <w:hideMark/>
          </w:tcPr>
          <w:p w14:paraId="3AD24356"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Regreso požymis</w:t>
            </w:r>
          </w:p>
        </w:tc>
      </w:tr>
      <w:tr w:rsidR="00DF1830" w:rsidRPr="00687E8D" w14:paraId="2D4F9C3D" w14:textId="77777777" w:rsidTr="00161699">
        <w:trPr>
          <w:trHeight w:val="406"/>
        </w:trPr>
        <w:tc>
          <w:tcPr>
            <w:tcW w:w="1145" w:type="dxa"/>
            <w:vAlign w:val="center"/>
            <w:hideMark/>
          </w:tcPr>
          <w:p w14:paraId="2AA99676"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lastRenderedPageBreak/>
              <w:t>stiklo dūžis</w:t>
            </w:r>
          </w:p>
        </w:tc>
        <w:tc>
          <w:tcPr>
            <w:tcW w:w="1264" w:type="dxa"/>
            <w:vAlign w:val="center"/>
            <w:hideMark/>
          </w:tcPr>
          <w:p w14:paraId="46FDF553"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2022-01-22</w:t>
            </w:r>
          </w:p>
        </w:tc>
        <w:tc>
          <w:tcPr>
            <w:tcW w:w="1134" w:type="dxa"/>
            <w:vAlign w:val="center"/>
            <w:hideMark/>
          </w:tcPr>
          <w:p w14:paraId="17B93D6F"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310,60 €</w:t>
            </w:r>
          </w:p>
        </w:tc>
        <w:tc>
          <w:tcPr>
            <w:tcW w:w="1271" w:type="dxa"/>
            <w:vAlign w:val="center"/>
            <w:hideMark/>
          </w:tcPr>
          <w:p w14:paraId="38767B5B"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2022-07-21</w:t>
            </w:r>
          </w:p>
        </w:tc>
        <w:tc>
          <w:tcPr>
            <w:tcW w:w="1564" w:type="dxa"/>
            <w:vAlign w:val="center"/>
            <w:hideMark/>
          </w:tcPr>
          <w:p w14:paraId="34671618"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Sureguliuota</w:t>
            </w:r>
          </w:p>
        </w:tc>
        <w:tc>
          <w:tcPr>
            <w:tcW w:w="2694" w:type="dxa"/>
            <w:vAlign w:val="center"/>
            <w:hideMark/>
          </w:tcPr>
          <w:p w14:paraId="71C76DDC"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Ketvergių g. 2, </w:t>
            </w:r>
            <w:proofErr w:type="spellStart"/>
            <w:r w:rsidRPr="00687E8D">
              <w:rPr>
                <w:rFonts w:ascii="Times New Roman" w:eastAsia="Times New Roman" w:hAnsi="Times New Roman" w:cs="Times New Roman"/>
                <w:color w:val="000000"/>
                <w:kern w:val="28"/>
                <w:sz w:val="22"/>
                <w:szCs w:val="22"/>
              </w:rPr>
              <w:t>Dumpių</w:t>
            </w:r>
            <w:proofErr w:type="spellEnd"/>
            <w:r w:rsidRPr="00687E8D">
              <w:rPr>
                <w:rFonts w:ascii="Times New Roman" w:eastAsia="Times New Roman" w:hAnsi="Times New Roman" w:cs="Times New Roman"/>
                <w:color w:val="000000"/>
                <w:kern w:val="28"/>
                <w:sz w:val="22"/>
                <w:szCs w:val="22"/>
              </w:rPr>
              <w:t xml:space="preserve"> k., Dovilų sen., Klaipėdos r.</w:t>
            </w:r>
          </w:p>
        </w:tc>
        <w:tc>
          <w:tcPr>
            <w:tcW w:w="992" w:type="dxa"/>
            <w:vAlign w:val="center"/>
            <w:hideMark/>
          </w:tcPr>
          <w:p w14:paraId="0ACE7448"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N</w:t>
            </w:r>
          </w:p>
        </w:tc>
      </w:tr>
      <w:tr w:rsidR="00DF1830" w:rsidRPr="00687E8D" w14:paraId="14DC40E8" w14:textId="77777777" w:rsidTr="00161699">
        <w:trPr>
          <w:trHeight w:val="398"/>
        </w:trPr>
        <w:tc>
          <w:tcPr>
            <w:tcW w:w="1145" w:type="dxa"/>
            <w:vAlign w:val="center"/>
            <w:hideMark/>
          </w:tcPr>
          <w:p w14:paraId="62299ED5"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stiklo dūžis</w:t>
            </w:r>
          </w:p>
        </w:tc>
        <w:tc>
          <w:tcPr>
            <w:tcW w:w="1264" w:type="dxa"/>
            <w:vAlign w:val="center"/>
            <w:hideMark/>
          </w:tcPr>
          <w:p w14:paraId="71BF46F0"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2022-04-29</w:t>
            </w:r>
          </w:p>
        </w:tc>
        <w:tc>
          <w:tcPr>
            <w:tcW w:w="1134" w:type="dxa"/>
            <w:vAlign w:val="center"/>
            <w:hideMark/>
          </w:tcPr>
          <w:p w14:paraId="5211652A"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850,00 €</w:t>
            </w:r>
          </w:p>
        </w:tc>
        <w:tc>
          <w:tcPr>
            <w:tcW w:w="1271" w:type="dxa"/>
            <w:vAlign w:val="center"/>
            <w:hideMark/>
          </w:tcPr>
          <w:p w14:paraId="0062DF64"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2022-07-21</w:t>
            </w:r>
          </w:p>
        </w:tc>
        <w:tc>
          <w:tcPr>
            <w:tcW w:w="1564" w:type="dxa"/>
            <w:vAlign w:val="center"/>
            <w:hideMark/>
          </w:tcPr>
          <w:p w14:paraId="6C20BEB7"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Nesureguliuota</w:t>
            </w:r>
          </w:p>
        </w:tc>
        <w:tc>
          <w:tcPr>
            <w:tcW w:w="2694" w:type="dxa"/>
            <w:vAlign w:val="center"/>
            <w:hideMark/>
          </w:tcPr>
          <w:p w14:paraId="3F4165F2"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Ketvergių g. 2A, </w:t>
            </w:r>
            <w:proofErr w:type="spellStart"/>
            <w:r w:rsidRPr="00687E8D">
              <w:rPr>
                <w:rFonts w:ascii="Times New Roman" w:eastAsia="Times New Roman" w:hAnsi="Times New Roman" w:cs="Times New Roman"/>
                <w:color w:val="000000"/>
                <w:kern w:val="28"/>
                <w:sz w:val="22"/>
                <w:szCs w:val="22"/>
              </w:rPr>
              <w:t>Dumpių</w:t>
            </w:r>
            <w:proofErr w:type="spellEnd"/>
            <w:r w:rsidRPr="00687E8D">
              <w:rPr>
                <w:rFonts w:ascii="Times New Roman" w:eastAsia="Times New Roman" w:hAnsi="Times New Roman" w:cs="Times New Roman"/>
                <w:color w:val="000000"/>
                <w:kern w:val="28"/>
                <w:sz w:val="22"/>
                <w:szCs w:val="22"/>
              </w:rPr>
              <w:t xml:space="preserve"> k., Dovilų sen.,  Klaipėdos r.</w:t>
            </w:r>
          </w:p>
        </w:tc>
        <w:tc>
          <w:tcPr>
            <w:tcW w:w="992" w:type="dxa"/>
            <w:vAlign w:val="center"/>
            <w:hideMark/>
          </w:tcPr>
          <w:p w14:paraId="4AF0D9B1" w14:textId="77777777" w:rsidR="00DF1830" w:rsidRPr="00687E8D" w:rsidRDefault="00DF1830" w:rsidP="00161699">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N</w:t>
            </w:r>
          </w:p>
        </w:tc>
      </w:tr>
    </w:tbl>
    <w:p w14:paraId="2ACA2314" w14:textId="091D9067" w:rsidR="00DF123D" w:rsidRDefault="00DF1830">
      <w:r>
        <w:t xml:space="preserve">                                                                   _________________________________________</w:t>
      </w:r>
    </w:p>
    <w:sectPr w:rsidR="00DF123D" w:rsidSect="00DF1830">
      <w:pgSz w:w="12240" w:h="15840"/>
      <w:pgMar w:top="709" w:right="90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num w:numId="1" w16cid:durableId="2126538295">
    <w:abstractNumId w:val="0"/>
  </w:num>
  <w:num w:numId="2" w16cid:durableId="21306648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830"/>
    <w:rsid w:val="000F03E0"/>
    <w:rsid w:val="00202728"/>
    <w:rsid w:val="003510F9"/>
    <w:rsid w:val="00564AFD"/>
    <w:rsid w:val="00912E61"/>
    <w:rsid w:val="00B9662B"/>
    <w:rsid w:val="00BA796E"/>
    <w:rsid w:val="00C332D7"/>
    <w:rsid w:val="00DF0AD5"/>
    <w:rsid w:val="00DF123D"/>
    <w:rsid w:val="00DF1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29999"/>
  <w15:chartTrackingRefBased/>
  <w15:docId w15:val="{9AB689E3-7819-4D46-B406-533C691CF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1830"/>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DF18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F18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F18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F18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F18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F18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F18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F18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F18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F18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F18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F18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F18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F18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F18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F18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F18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F18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F18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F18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F18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F18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F18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F1830"/>
    <w:rPr>
      <w:i/>
      <w:iCs/>
      <w:color w:val="404040" w:themeColor="text1" w:themeTint="BF"/>
    </w:rPr>
  </w:style>
  <w:style w:type="paragraph" w:styleId="Sraopastraipa">
    <w:name w:val="List Paragraph"/>
    <w:basedOn w:val="prastasis"/>
    <w:uiPriority w:val="34"/>
    <w:qFormat/>
    <w:rsid w:val="00DF1830"/>
    <w:pPr>
      <w:ind w:left="720"/>
      <w:contextualSpacing/>
    </w:pPr>
  </w:style>
  <w:style w:type="character" w:styleId="Rykuspabraukimas">
    <w:name w:val="Intense Emphasis"/>
    <w:basedOn w:val="Numatytasispastraiposriftas"/>
    <w:uiPriority w:val="21"/>
    <w:qFormat/>
    <w:rsid w:val="00DF1830"/>
    <w:rPr>
      <w:i/>
      <w:iCs/>
      <w:color w:val="2F5496" w:themeColor="accent1" w:themeShade="BF"/>
    </w:rPr>
  </w:style>
  <w:style w:type="paragraph" w:styleId="Iskirtacitata">
    <w:name w:val="Intense Quote"/>
    <w:basedOn w:val="prastasis"/>
    <w:next w:val="prastasis"/>
    <w:link w:val="IskirtacitataDiagrama"/>
    <w:uiPriority w:val="30"/>
    <w:qFormat/>
    <w:rsid w:val="00DF18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F1830"/>
    <w:rPr>
      <w:i/>
      <w:iCs/>
      <w:color w:val="2F5496" w:themeColor="accent1" w:themeShade="BF"/>
    </w:rPr>
  </w:style>
  <w:style w:type="character" w:styleId="Rykinuoroda">
    <w:name w:val="Intense Reference"/>
    <w:basedOn w:val="Numatytasispastraiposriftas"/>
    <w:uiPriority w:val="32"/>
    <w:qFormat/>
    <w:rsid w:val="00DF183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5466</Characters>
  <Application>Microsoft Office Word</Application>
  <DocSecurity>0</DocSecurity>
  <Lines>45</Lines>
  <Paragraphs>12</Paragraphs>
  <ScaleCrop>false</ScaleCrop>
  <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cp:revision>
  <dcterms:created xsi:type="dcterms:W3CDTF">2025-07-24T07:57:00Z</dcterms:created>
  <dcterms:modified xsi:type="dcterms:W3CDTF">2025-07-24T07:57:00Z</dcterms:modified>
</cp:coreProperties>
</file>